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088"/>
        <w:gridCol w:w="1588"/>
      </w:tblGrid>
      <w:tr w:rsidR="0096608C" w:rsidRPr="00F2743B" w:rsidTr="001E5595">
        <w:tc>
          <w:tcPr>
            <w:tcW w:w="1843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7088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1588" w:type="dxa"/>
            <w:vAlign w:val="center"/>
          </w:tcPr>
          <w:p w:rsidR="0096608C" w:rsidRPr="00F2743B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F2743B" w:rsidTr="009826F8">
        <w:trPr>
          <w:trHeight w:val="1060"/>
        </w:trPr>
        <w:tc>
          <w:tcPr>
            <w:tcW w:w="1843" w:type="dxa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96608C" w:rsidRPr="008F4A6C" w:rsidRDefault="007F0A7D" w:rsidP="008F4A6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6608C">
              <w:rPr>
                <w:rFonts w:ascii="Arial" w:hAnsi="Arial" w:cs="Arial"/>
              </w:rPr>
              <w:t xml:space="preserve">Bitkisel </w:t>
            </w:r>
            <w:r w:rsidR="001E5595">
              <w:rPr>
                <w:rFonts w:ascii="Arial" w:hAnsi="Arial" w:cs="Arial"/>
              </w:rPr>
              <w:t>Üretime Yönelik Destekler Süreci</w:t>
            </w:r>
          </w:p>
          <w:p w:rsidR="0096608C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6608C" w:rsidRPr="00612206">
              <w:rPr>
                <w:rFonts w:ascii="Arial" w:hAnsi="Arial" w:cs="Arial"/>
              </w:rPr>
              <w:t>Hayvansal</w:t>
            </w:r>
            <w:r w:rsidR="0096608C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Üretime Yönelik Destekler</w:t>
            </w:r>
            <w:r w:rsidR="001E5595" w:rsidRPr="00612206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Süreci</w:t>
            </w:r>
          </w:p>
          <w:p w:rsidR="00C73566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73566" w:rsidRPr="00C73566">
              <w:rPr>
                <w:rFonts w:ascii="Arial" w:hAnsi="Arial" w:cs="Arial"/>
                <w:b/>
              </w:rPr>
              <w:t>3</w:t>
            </w:r>
            <w:r w:rsidR="00C73566">
              <w:rPr>
                <w:rFonts w:ascii="Arial" w:hAnsi="Arial" w:cs="Arial"/>
              </w:rPr>
              <w:t xml:space="preserve">. Kırsal </w:t>
            </w:r>
            <w:r w:rsidR="001E5595">
              <w:rPr>
                <w:rFonts w:ascii="Arial" w:hAnsi="Arial" w:cs="Arial"/>
              </w:rPr>
              <w:t>Kalkınmaya Yönelik destekler S</w:t>
            </w:r>
            <w:r w:rsidR="00C73566">
              <w:rPr>
                <w:rFonts w:ascii="Arial" w:hAnsi="Arial" w:cs="Arial"/>
              </w:rPr>
              <w:t>üreci</w:t>
            </w:r>
          </w:p>
          <w:p w:rsidR="00E26241" w:rsidRPr="0096608C" w:rsidRDefault="00E26241" w:rsidP="0039065E">
            <w:pPr>
              <w:jc w:val="both"/>
              <w:rPr>
                <w:rFonts w:ascii="Arial" w:hAnsi="Arial" w:cs="Arial"/>
              </w:rPr>
            </w:pPr>
            <w:r w:rsidRPr="000C78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0A7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065E">
              <w:rPr>
                <w:rFonts w:ascii="Arial" w:hAnsi="Arial" w:cs="Arial"/>
                <w:sz w:val="20"/>
                <w:szCs w:val="20"/>
              </w:rPr>
              <w:t xml:space="preserve"> Tarımsal Yayım ve Danışman</w:t>
            </w:r>
            <w:r w:rsidRPr="006E783F">
              <w:rPr>
                <w:rFonts w:ascii="Arial" w:hAnsi="Arial" w:cs="Arial"/>
                <w:sz w:val="20"/>
                <w:szCs w:val="20"/>
              </w:rPr>
              <w:t>lık Desteklemesi Süreci</w:t>
            </w:r>
          </w:p>
        </w:tc>
      </w:tr>
      <w:tr w:rsidR="00E26241" w:rsidRPr="00F2743B" w:rsidTr="0096608C">
        <w:tc>
          <w:tcPr>
            <w:tcW w:w="1843" w:type="dxa"/>
            <w:vMerge w:val="restart"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E26241" w:rsidRPr="007F0A7D" w:rsidRDefault="00E564D0" w:rsidP="007F0A7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7F0A7D" w:rsidRPr="007F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241" w:rsidRPr="007F0A7D">
              <w:rPr>
                <w:rFonts w:ascii="Times New Roman" w:hAnsi="Times New Roman"/>
                <w:sz w:val="24"/>
                <w:szCs w:val="24"/>
              </w:rPr>
              <w:t>Tarımsal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C73566" w:rsidRDefault="007F0A7D" w:rsidP="00C73566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2.1.Hayvansal üretime yönelik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0C7834" w:rsidRDefault="007F0A7D" w:rsidP="000C78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Kırsal Kalkınmaya Yönelik destekler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Default="007F0A7D" w:rsidP="00390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sz w:val="20"/>
                <w:szCs w:val="20"/>
              </w:rPr>
              <w:t>şma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nlık Desteklemesi Süreci</w:t>
            </w:r>
          </w:p>
        </w:tc>
      </w:tr>
      <w:tr w:rsidR="009826F8" w:rsidRPr="00F2743B" w:rsidTr="0096608C">
        <w:tc>
          <w:tcPr>
            <w:tcW w:w="1843" w:type="dxa"/>
            <w:vMerge w:val="restart"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Faaliyet Basamakları</w:t>
            </w:r>
          </w:p>
        </w:tc>
        <w:tc>
          <w:tcPr>
            <w:tcW w:w="8676" w:type="dxa"/>
            <w:gridSpan w:val="2"/>
          </w:tcPr>
          <w:p w:rsidR="009826F8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BİTKİSEL ÜRETİME YÖNELİK DESTEKLEMELER SÜRECİ</w:t>
            </w:r>
          </w:p>
          <w:p w:rsidR="003736A4" w:rsidRPr="003736A4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E56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 xml:space="preserve"> Tarımsal Destekleme </w:t>
            </w:r>
            <w:r w:rsidR="0063427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E564D0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t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 w:rsidR="00E43B9C">
              <w:rPr>
                <w:rFonts w:ascii="Times New Roman" w:hAnsi="Times New Roman"/>
                <w:sz w:val="24"/>
                <w:szCs w:val="24"/>
              </w:rPr>
              <w:t xml:space="preserve">desteklemeler,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ç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2228D4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 iletişim araçları ile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ur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7EB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Çiftçi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 destek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müracaatları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 alınarak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İl ve İlçe Müdürlüklerince değerlendirilir. </w:t>
            </w:r>
          </w:p>
          <w:p w:rsidR="00D12E4F" w:rsidRDefault="00B247EB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4.1.1.3.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dosyasında eksiklikler mevcut ise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eksikliklerin giderilmesi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istenir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, gider</w:t>
            </w:r>
            <w:r>
              <w:rPr>
                <w:rFonts w:ascii="Times New Roman" w:hAnsi="Times New Roman"/>
                <w:sz w:val="24"/>
                <w:szCs w:val="24"/>
              </w:rPr>
              <w:t>il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mez ise müracaat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reddedilir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B247EB">
              <w:rPr>
                <w:rFonts w:ascii="Times New Roman" w:hAnsi="Times New Roman"/>
                <w:sz w:val="24"/>
                <w:szCs w:val="24"/>
              </w:rPr>
              <w:t>.4</w:t>
            </w:r>
            <w:r w:rsidR="003C4819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İl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B247EB">
              <w:rPr>
                <w:rFonts w:ascii="Times New Roman" w:hAnsi="Times New Roman"/>
                <w:sz w:val="24"/>
                <w:szCs w:val="24"/>
              </w:rPr>
              <w:t>lçe Müdürlüklerince TBS</w:t>
            </w:r>
            <w:r w:rsidR="0077278E">
              <w:rPr>
                <w:rFonts w:ascii="Times New Roman" w:hAnsi="Times New Roman"/>
                <w:sz w:val="24"/>
                <w:szCs w:val="24"/>
              </w:rPr>
              <w:t xml:space="preserve"> veya SKS</w:t>
            </w:r>
            <w:r w:rsidR="00B247EB">
              <w:rPr>
                <w:rFonts w:ascii="Times New Roman" w:hAnsi="Times New Roman"/>
                <w:sz w:val="24"/>
                <w:szCs w:val="24"/>
              </w:rPr>
              <w:t>’deki kayıtlar kontrol edilerek gerekli güncellemeler yapılır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1.5</w:t>
            </w:r>
            <w:r w:rsidR="003E48D9">
              <w:rPr>
                <w:rFonts w:ascii="Times New Roman" w:hAnsi="Times New Roman"/>
                <w:sz w:val="24"/>
                <w:szCs w:val="24"/>
              </w:rPr>
              <w:t>.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İl ve i</w:t>
            </w:r>
            <w:r w:rsidR="00D12E4F">
              <w:rPr>
                <w:rFonts w:ascii="Times New Roman" w:hAnsi="Times New Roman"/>
                <w:sz w:val="24"/>
                <w:szCs w:val="24"/>
              </w:rPr>
              <w:t>l</w:t>
            </w:r>
            <w:r w:rsidR="007936A8">
              <w:rPr>
                <w:rFonts w:ascii="Times New Roman" w:hAnsi="Times New Roman"/>
                <w:sz w:val="24"/>
                <w:szCs w:val="24"/>
              </w:rPr>
              <w:t>çe Müdürlükleri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 personelince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>gerekli kontrolleri yapıl</w:t>
            </w:r>
            <w:r w:rsidR="00D12E4F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6</w:t>
            </w:r>
            <w:r w:rsidR="00D53F6A">
              <w:rPr>
                <w:rFonts w:ascii="Times New Roman" w:hAnsi="Times New Roman"/>
                <w:sz w:val="24"/>
                <w:szCs w:val="24"/>
              </w:rPr>
              <w:t>. Kontrolü yapılan başvurular uygunsa sistem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166" w:rsidRPr="00CA097D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7936A8">
              <w:rPr>
                <w:rFonts w:ascii="Times New Roman" w:hAnsi="Times New Roman"/>
                <w:sz w:val="24"/>
                <w:szCs w:val="24"/>
              </w:rPr>
              <w:t>.7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 Askı icmalleri sistemden alın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3E48D9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7936A8">
              <w:rPr>
                <w:rFonts w:ascii="Times New Roman" w:hAnsi="Times New Roman"/>
                <w:sz w:val="24"/>
                <w:szCs w:val="24"/>
              </w:rPr>
              <w:t>.8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Askı icmallerine itiraz var ise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l/ilçe müdürlüklerince veya Tahkim Komisyonunca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erek,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askı icmalleri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değerlendirme sonucuna göre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güncellenir. Değerlendirme sonucu itiraz sahibine bildirilir.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26F8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7936A8">
              <w:rPr>
                <w:rFonts w:ascii="Times New Roman" w:hAnsi="Times New Roman"/>
                <w:sz w:val="24"/>
                <w:szCs w:val="24"/>
              </w:rPr>
              <w:t>.9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E4F" w:rsidRPr="0077278E">
              <w:rPr>
                <w:rFonts w:ascii="Times New Roman" w:hAnsi="Times New Roman"/>
                <w:sz w:val="24"/>
                <w:szCs w:val="24"/>
              </w:rPr>
              <w:t>İlçe Müdürlüklerinden onaylanarak gelen icmal</w:t>
            </w:r>
            <w:r w:rsidR="003E7699" w:rsidRPr="0077278E">
              <w:rPr>
                <w:rFonts w:ascii="Times New Roman" w:hAnsi="Times New Roman"/>
                <w:sz w:val="24"/>
                <w:szCs w:val="24"/>
              </w:rPr>
              <w:t>ler</w:t>
            </w:r>
            <w:r w:rsidR="007936A8" w:rsidRPr="0077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E4F" w:rsidRPr="0077278E">
              <w:rPr>
                <w:rFonts w:ascii="Times New Roman" w:hAnsi="Times New Roman"/>
                <w:sz w:val="24"/>
                <w:szCs w:val="24"/>
              </w:rPr>
              <w:t>İl Müdürlüğünce</w:t>
            </w:r>
            <w:r w:rsidR="007936A8" w:rsidRPr="0077278E">
              <w:rPr>
                <w:rFonts w:ascii="Times New Roman" w:hAnsi="Times New Roman"/>
                <w:sz w:val="24"/>
                <w:szCs w:val="24"/>
              </w:rPr>
              <w:t xml:space="preserve"> kontrol edilir.</w:t>
            </w:r>
            <w:r w:rsidR="00D12E4F" w:rsidRPr="0077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6A8" w:rsidRPr="0077278E">
              <w:rPr>
                <w:rFonts w:ascii="Times New Roman" w:hAnsi="Times New Roman"/>
                <w:sz w:val="24"/>
                <w:szCs w:val="24"/>
              </w:rPr>
              <w:t xml:space="preserve">İl icmali oluşturularak </w:t>
            </w:r>
            <w:r w:rsidR="006E6ABF" w:rsidRPr="0077278E">
              <w:rPr>
                <w:rFonts w:ascii="Times New Roman" w:hAnsi="Times New Roman"/>
                <w:sz w:val="24"/>
                <w:szCs w:val="24"/>
              </w:rPr>
              <w:t xml:space="preserve">Sistemden alınır ve </w:t>
            </w:r>
            <w:r w:rsidR="00D12E4F" w:rsidRPr="0077278E">
              <w:rPr>
                <w:rFonts w:ascii="Times New Roman" w:hAnsi="Times New Roman"/>
                <w:sz w:val="24"/>
                <w:szCs w:val="24"/>
              </w:rPr>
              <w:t xml:space="preserve">onaylanarak </w:t>
            </w:r>
            <w:r w:rsidR="006E6ABF" w:rsidRPr="0077278E">
              <w:rPr>
                <w:rFonts w:ascii="Times New Roman" w:hAnsi="Times New Roman"/>
                <w:sz w:val="24"/>
                <w:szCs w:val="24"/>
              </w:rPr>
              <w:t>EBYS’den</w:t>
            </w:r>
            <w:r w:rsidR="00E01BE5" w:rsidRPr="0077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99" w:rsidRPr="0077278E">
              <w:rPr>
                <w:rFonts w:ascii="Times New Roman" w:hAnsi="Times New Roman"/>
                <w:sz w:val="24"/>
                <w:szCs w:val="24"/>
              </w:rPr>
              <w:t>Bakanlık ilgili merkez birimlerine gönderilir</w:t>
            </w:r>
            <w:r w:rsidR="003E48D9" w:rsidRPr="0077278E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77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1D8" w:rsidRPr="003E7699" w:rsidRDefault="009261D8" w:rsidP="006262D9">
            <w:pPr>
              <w:snapToGrid w:val="0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4.1.1.10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Takip edilmesi gereken tarımsal desteklemeler mevzuatlarında belirtilen sürelerde takibi yapılır.</w:t>
            </w:r>
          </w:p>
          <w:p w:rsidR="009826F8" w:rsidRPr="00327B22" w:rsidRDefault="007F0A7D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7B22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9826F8" w:rsidRPr="00F2743B" w:rsidTr="0096608C">
        <w:tc>
          <w:tcPr>
            <w:tcW w:w="1843" w:type="dxa"/>
            <w:vMerge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9826F8" w:rsidRPr="00EE54FC" w:rsidRDefault="003736A4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HAYVANSAL ÜRETİME YÖNELİK DESTEKLEMELER SÜRECİ</w:t>
            </w:r>
          </w:p>
          <w:p w:rsidR="00A83839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hayvancılık desteklemeler,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i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k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ç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A8383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580B81" w:rsidRPr="009A0C44" w:rsidRDefault="00A83839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Destekleme m</w:t>
            </w:r>
            <w:r w:rsidR="00BB2E20">
              <w:rPr>
                <w:rFonts w:ascii="Times New Roman" w:hAnsi="Times New Roman"/>
                <w:sz w:val="24"/>
                <w:szCs w:val="24"/>
              </w:rPr>
              <w:t>üracaatları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ilgili tebliğler kapsamında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İl ve İlçe Müdürlüklerince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kabul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3736A4" w:rsidP="00A83839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9A0C44">
              <w:rPr>
                <w:rFonts w:ascii="Times New Roman" w:hAnsi="Times New Roman"/>
                <w:sz w:val="24"/>
                <w:szCs w:val="24"/>
              </w:rPr>
              <w:t>1.3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278E">
              <w:rPr>
                <w:rFonts w:ascii="Times New Roman" w:hAnsi="Times New Roman"/>
                <w:sz w:val="24"/>
                <w:szCs w:val="24"/>
              </w:rPr>
              <w:t>Değerlendirme sonucu u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ygun olmayan </w:t>
            </w:r>
            <w:r w:rsidR="0077278E">
              <w:rPr>
                <w:rFonts w:ascii="Times New Roman" w:hAnsi="Times New Roman"/>
                <w:sz w:val="24"/>
                <w:szCs w:val="24"/>
              </w:rPr>
              <w:t xml:space="preserve">ve/veya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eksik müracaatların süresi içinde giderilmesi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giderilmez ise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 w:rsidR="003B758D">
              <w:rPr>
                <w:rFonts w:ascii="Times New Roman" w:hAnsi="Times New Roman"/>
                <w:sz w:val="24"/>
                <w:szCs w:val="24"/>
              </w:rPr>
              <w:lastRenderedPageBreak/>
              <w:t>reddedilir.</w:t>
            </w:r>
          </w:p>
          <w:p w:rsidR="009826F8" w:rsidRPr="00EE54FC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.4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Uygun müracaatların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mevzuata göre sistem ve/veya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işletme kontrolleri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ır.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H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3186B">
              <w:rPr>
                <w:rFonts w:ascii="Times New Roman" w:hAnsi="Times New Roman"/>
                <w:sz w:val="24"/>
                <w:szCs w:val="24"/>
              </w:rPr>
              <w:t>edişler düzenlenerek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istemden alınır.</w:t>
            </w:r>
          </w:p>
          <w:p w:rsidR="0033186B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9A0C44">
              <w:rPr>
                <w:rFonts w:ascii="Times New Roman" w:hAnsi="Times New Roman"/>
                <w:sz w:val="24"/>
                <w:szCs w:val="24"/>
              </w:rPr>
              <w:t>1.5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Askı icmalleri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İcmallere itirazlar var ise 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il/ilçe müdürlüklerinde veya Tahkim Komisyonunca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incelenerek haklı itirazlar kabul edilir, haksız itirazlar ise reddedilir.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78E" w:rsidRDefault="003736A4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A0C44">
              <w:rPr>
                <w:rFonts w:ascii="Times New Roman" w:hAnsi="Times New Roman"/>
                <w:sz w:val="24"/>
                <w:szCs w:val="24"/>
              </w:rPr>
              <w:t>2.1.6</w:t>
            </w:r>
            <w:r w:rsidR="00580B81">
              <w:rPr>
                <w:rFonts w:ascii="Times New Roman" w:hAnsi="Times New Roman"/>
                <w:sz w:val="24"/>
                <w:szCs w:val="24"/>
              </w:rPr>
              <w:t>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78E" w:rsidRPr="0077278E">
              <w:rPr>
                <w:rFonts w:ascii="Times New Roman" w:hAnsi="Times New Roman"/>
                <w:sz w:val="24"/>
                <w:szCs w:val="24"/>
              </w:rPr>
              <w:t>İlçe Müdürlüklerinden onaylanarak gelen icmaller İl Müdürlüğünce kontrol edilir. İl icmali oluşturularak Sistemden alınır ve onaylanarak EBYS’den Bakanlık ilgili merkez birimlerine gönderilir.</w:t>
            </w:r>
          </w:p>
          <w:p w:rsidR="0088071E" w:rsidRDefault="0088071E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86B" w:rsidRPr="00203280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>ırsal Kalkınmaya Yönelik De</w:t>
            </w:r>
            <w:r w:rsidR="003F03FB">
              <w:rPr>
                <w:rFonts w:ascii="Times New Roman" w:hAnsi="Times New Roman"/>
                <w:b/>
                <w:sz w:val="24"/>
                <w:szCs w:val="24"/>
              </w:rPr>
              <w:t>stekleme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203280" w:rsidRDefault="00203280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KKYDP kapsamındaki desteklemeler,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i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k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ç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ur.  </w:t>
            </w: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  <w:r w:rsidR="00887529" w:rsidRPr="00887529">
              <w:rPr>
                <w:rFonts w:ascii="Times New Roman" w:hAnsi="Times New Roman"/>
                <w:sz w:val="24"/>
                <w:szCs w:val="24"/>
              </w:rPr>
              <w:t>Bakanlıkça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ayınlanan tebliğe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göre İl Proje Yürütme Birimi o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3B758D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.3. İl 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Proje Değerlendirme Komisyonu </w:t>
            </w:r>
            <w:r w:rsidR="001777A3" w:rsidRPr="00C73566">
              <w:rPr>
                <w:rFonts w:ascii="Times New Roman" w:hAnsi="Times New Roman"/>
                <w:sz w:val="24"/>
                <w:szCs w:val="24"/>
              </w:rPr>
              <w:t>oluşturul</w:t>
            </w:r>
            <w:r w:rsidR="001777A3">
              <w:rPr>
                <w:rFonts w:ascii="Times New Roman" w:hAnsi="Times New Roman"/>
                <w:sz w:val="24"/>
                <w:szCs w:val="24"/>
              </w:rPr>
              <w:t>ur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C73566" w:rsidRPr="00C84F7A">
              <w:rPr>
                <w:rFonts w:ascii="Times New Roman" w:hAnsi="Times New Roman"/>
                <w:sz w:val="24"/>
                <w:szCs w:val="24"/>
              </w:rPr>
              <w:t>Ekonomik Yatırımlarda</w:t>
            </w:r>
            <w:r w:rsidR="002D087A" w:rsidRPr="00C8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C84F7A">
              <w:rPr>
                <w:rFonts w:ascii="Times New Roman" w:hAnsi="Times New Roman"/>
                <w:sz w:val="24"/>
                <w:szCs w:val="24"/>
              </w:rPr>
              <w:t>Proje m</w:t>
            </w:r>
            <w:r w:rsidR="00C73566" w:rsidRPr="00C84F7A">
              <w:rPr>
                <w:rFonts w:ascii="Times New Roman" w:hAnsi="Times New Roman"/>
                <w:sz w:val="24"/>
                <w:szCs w:val="24"/>
              </w:rPr>
              <w:t xml:space="preserve">üracaatları </w:t>
            </w:r>
            <w:r w:rsidR="003E7699" w:rsidRPr="00C84F7A">
              <w:rPr>
                <w:rFonts w:ascii="Times New Roman" w:hAnsi="Times New Roman"/>
                <w:sz w:val="24"/>
                <w:szCs w:val="24"/>
              </w:rPr>
              <w:t>EB</w:t>
            </w:r>
            <w:r w:rsidR="00887529" w:rsidRPr="00C84F7A">
              <w:rPr>
                <w:rFonts w:ascii="Times New Roman" w:hAnsi="Times New Roman"/>
                <w:sz w:val="24"/>
                <w:szCs w:val="24"/>
              </w:rPr>
              <w:t xml:space="preserve">YS üzerinden, </w:t>
            </w:r>
            <w:r w:rsidR="003B758D" w:rsidRPr="00C8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2BF" w:rsidRPr="00C84F7A">
              <w:rPr>
                <w:rFonts w:ascii="Times New Roman" w:hAnsi="Times New Roman"/>
                <w:sz w:val="24"/>
                <w:szCs w:val="24"/>
              </w:rPr>
              <w:t xml:space="preserve">Çiftçi Projelerinde önce Genç Çiftçi İnternet </w:t>
            </w:r>
            <w:r w:rsidR="00C84F7A">
              <w:rPr>
                <w:rFonts w:ascii="Times New Roman" w:hAnsi="Times New Roman"/>
                <w:sz w:val="24"/>
                <w:szCs w:val="24"/>
              </w:rPr>
              <w:t xml:space="preserve">sistemi üzerinden il ve ilçe müdürlüklerine,  </w:t>
            </w:r>
            <w:r w:rsidR="00C84F7A" w:rsidRPr="00C84F7A">
              <w:rPr>
                <w:rFonts w:ascii="Times New Roman" w:hAnsi="Times New Roman"/>
                <w:sz w:val="24"/>
                <w:szCs w:val="24"/>
              </w:rPr>
              <w:t>sulama</w:t>
            </w:r>
            <w:r w:rsidR="00C84F7A">
              <w:rPr>
                <w:rFonts w:ascii="Times New Roman" w:hAnsi="Times New Roman"/>
                <w:sz w:val="24"/>
                <w:szCs w:val="24"/>
              </w:rPr>
              <w:t xml:space="preserve"> desteklemeleri </w:t>
            </w:r>
            <w:r w:rsidR="003352BF" w:rsidRPr="00C8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F7A">
              <w:rPr>
                <w:rFonts w:ascii="Times New Roman" w:hAnsi="Times New Roman"/>
                <w:sz w:val="24"/>
                <w:szCs w:val="24"/>
              </w:rPr>
              <w:t xml:space="preserve">İl  </w:t>
            </w:r>
            <w:r w:rsidR="00C73566" w:rsidRPr="00C84F7A">
              <w:rPr>
                <w:rFonts w:ascii="Times New Roman" w:hAnsi="Times New Roman"/>
                <w:sz w:val="24"/>
                <w:szCs w:val="24"/>
              </w:rPr>
              <w:t xml:space="preserve">Müdürlüklerine </w:t>
            </w:r>
            <w:r w:rsidR="001777A3" w:rsidRPr="00C84F7A">
              <w:rPr>
                <w:rFonts w:ascii="Times New Roman" w:hAnsi="Times New Roman"/>
                <w:sz w:val="24"/>
                <w:szCs w:val="24"/>
              </w:rPr>
              <w:t>şahsen</w:t>
            </w:r>
            <w:r w:rsidR="00C73566" w:rsidRPr="00C8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C84F7A">
              <w:rPr>
                <w:rFonts w:ascii="Times New Roman" w:hAnsi="Times New Roman"/>
                <w:sz w:val="24"/>
                <w:szCs w:val="24"/>
              </w:rPr>
              <w:t>yapılır.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.5. Müracaatlar, </w:t>
            </w:r>
            <w:r w:rsidR="00093FAC">
              <w:rPr>
                <w:rFonts w:ascii="Times New Roman" w:hAnsi="Times New Roman"/>
                <w:sz w:val="24"/>
                <w:szCs w:val="24"/>
              </w:rPr>
              <w:t xml:space="preserve">Tebliğde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kriterlere göre İl Proje Değerlendirme Komisyonu tarafından değerlendiril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3352BF" w:rsidRPr="00C84F7A" w:rsidRDefault="003736A4" w:rsidP="003352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.6. Değerlendirme Sonuç Raporları </w:t>
            </w:r>
            <w:r w:rsidR="0088071E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gönderil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  <w:r w:rsidR="003352BF" w:rsidRPr="00616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352BF" w:rsidRPr="00C84F7A">
              <w:rPr>
                <w:rFonts w:ascii="Times New Roman" w:hAnsi="Times New Roman"/>
                <w:sz w:val="24"/>
                <w:szCs w:val="24"/>
              </w:rPr>
              <w:t>Genç Çiftçi Projelerinde askı listesi alınır.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.7. Nihai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>değerlendirme sonuçları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göre desteklemeye esas 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sil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iste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ler o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6E7E0F">
              <w:rPr>
                <w:rFonts w:ascii="Times New Roman" w:hAnsi="Times New Roman"/>
                <w:sz w:val="24"/>
                <w:szCs w:val="24"/>
              </w:rPr>
              <w:t>ur.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Listeler,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 xml:space="preserve">sulama desteklemelerinde 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>yedek liste ile birlikte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Bakanlığa gönderilir.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.8. Nihai değerlendirme sonucu olumsuz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 ise durum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yatırımcıya tebliğ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.9. Nihai değerlendirme sonucu olumlu ise </w:t>
            </w:r>
            <w:r w:rsidR="00E170A2">
              <w:rPr>
                <w:rFonts w:ascii="Times New Roman" w:hAnsi="Times New Roman"/>
                <w:sz w:val="24"/>
                <w:szCs w:val="24"/>
              </w:rPr>
              <w:t>hibe almaya hak kazananlarla,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içerisinde hibe sözleşmesi</w:t>
            </w:r>
            <w:r w:rsidR="00C84F7A">
              <w:rPr>
                <w:rFonts w:ascii="Times New Roman" w:hAnsi="Times New Roman"/>
                <w:sz w:val="24"/>
                <w:szCs w:val="24"/>
              </w:rPr>
              <w:t xml:space="preserve"> sistemden alınarak yatırımcı ve İl Müdürlüğü tarafından imzalanır 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3352BF" w:rsidRPr="00C84F7A">
              <w:rPr>
                <w:rFonts w:ascii="Times New Roman" w:hAnsi="Times New Roman"/>
                <w:sz w:val="24"/>
                <w:szCs w:val="24"/>
              </w:rPr>
              <w:t xml:space="preserve">Ekonomik Yatırımlarda 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>proje teminatı</w:t>
            </w:r>
            <w:r w:rsidR="00E170A2">
              <w:rPr>
                <w:rFonts w:ascii="Times New Roman" w:hAnsi="Times New Roman"/>
                <w:sz w:val="24"/>
                <w:szCs w:val="24"/>
              </w:rPr>
              <w:t xml:space="preserve"> alınır. </w:t>
            </w:r>
          </w:p>
          <w:p w:rsidR="00C73566" w:rsidRPr="009A0C44" w:rsidRDefault="003736A4" w:rsidP="009A0C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  <w:r w:rsidR="009733AA">
              <w:rPr>
                <w:rFonts w:ascii="Times New Roman" w:hAnsi="Times New Roman"/>
                <w:sz w:val="24"/>
                <w:szCs w:val="24"/>
              </w:rPr>
              <w:t>H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>ibe sözleşmeleri</w:t>
            </w:r>
            <w:r w:rsidR="00C84F7A">
              <w:rPr>
                <w:rFonts w:ascii="Times New Roman" w:hAnsi="Times New Roman"/>
                <w:sz w:val="24"/>
                <w:szCs w:val="24"/>
              </w:rPr>
              <w:t>(sulama ve genç çiftçi)</w:t>
            </w:r>
            <w:r w:rsidR="009733AA">
              <w:rPr>
                <w:rFonts w:ascii="Times New Roman" w:hAnsi="Times New Roman"/>
                <w:sz w:val="24"/>
                <w:szCs w:val="24"/>
              </w:rPr>
              <w:t>,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belirtilen süre içerisinde imzalanmadı ise hibe almaya hak kazananlardan tebliğde belirtilen süre içerisinde hibe sözleşmesi imzalamayanların yerine y</w:t>
            </w:r>
            <w:r w:rsidR="009733AA">
              <w:rPr>
                <w:rFonts w:ascii="Times New Roman" w:hAnsi="Times New Roman"/>
                <w:sz w:val="24"/>
                <w:szCs w:val="24"/>
              </w:rPr>
              <w:t>edek listeden yatırımcı atanır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ve sonu</w:t>
            </w:r>
            <w:r w:rsidR="009733AA">
              <w:rPr>
                <w:rFonts w:ascii="Times New Roman" w:hAnsi="Times New Roman"/>
                <w:sz w:val="24"/>
                <w:szCs w:val="24"/>
              </w:rPr>
              <w:t>ç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yatırımcıya tebliğ</w:t>
            </w:r>
            <w:r w:rsidR="009733AA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.11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731D">
              <w:rPr>
                <w:rFonts w:ascii="Times New Roman" w:hAnsi="Times New Roman"/>
                <w:sz w:val="24"/>
                <w:szCs w:val="24"/>
              </w:rPr>
              <w:t>Sözleşme imzalayan yatırımcılar</w:t>
            </w:r>
            <w:r w:rsidR="00E97A58">
              <w:rPr>
                <w:rFonts w:ascii="Times New Roman" w:hAnsi="Times New Roman"/>
                <w:sz w:val="24"/>
                <w:szCs w:val="24"/>
              </w:rPr>
              <w:t>ın</w:t>
            </w:r>
            <w:r w:rsidR="00FB731D">
              <w:rPr>
                <w:rFonts w:ascii="Times New Roman" w:hAnsi="Times New Roman"/>
                <w:sz w:val="24"/>
                <w:szCs w:val="24"/>
              </w:rPr>
              <w:t>,</w:t>
            </w:r>
            <w:r w:rsidR="00E97A58">
              <w:rPr>
                <w:rFonts w:ascii="Times New Roman" w:hAnsi="Times New Roman"/>
                <w:sz w:val="24"/>
                <w:szCs w:val="24"/>
              </w:rPr>
              <w:t xml:space="preserve"> yatırım yeri il proje yürütme birimince tespit edilerek tutanağa bağlanır. Yatırımcı t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>ebliğde belirtilen süre içe</w:t>
            </w:r>
            <w:r w:rsidR="00FB731D">
              <w:rPr>
                <w:rFonts w:ascii="Times New Roman" w:hAnsi="Times New Roman"/>
                <w:sz w:val="24"/>
                <w:szCs w:val="24"/>
              </w:rPr>
              <w:t>risinde satın alma evraklarını h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azırlayarak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İl Müdürlüğüne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731D">
              <w:rPr>
                <w:rFonts w:ascii="Times New Roman" w:hAnsi="Times New Roman"/>
                <w:sz w:val="24"/>
                <w:szCs w:val="24"/>
              </w:rPr>
              <w:t>ar.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9A0C44">
              <w:rPr>
                <w:rFonts w:ascii="Times New Roman" w:hAnsi="Times New Roman"/>
                <w:sz w:val="24"/>
                <w:szCs w:val="24"/>
              </w:rPr>
              <w:t>3.12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Müdürlük d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eğerlendirme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s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onucu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olumlu ise yatırımcıya satın almayı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gerçekleştirmesi için 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onay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veri</w:t>
            </w:r>
            <w:r w:rsidR="00E218EA">
              <w:rPr>
                <w:rFonts w:ascii="Times New Roman" w:hAnsi="Times New Roman"/>
                <w:sz w:val="24"/>
                <w:szCs w:val="24"/>
              </w:rPr>
              <w:t>li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.13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. Satın Alması onaylanan Yatırımcın</w:t>
            </w:r>
            <w:r w:rsidR="00E97A58">
              <w:rPr>
                <w:rFonts w:ascii="Times New Roman" w:hAnsi="Times New Roman"/>
                <w:sz w:val="24"/>
                <w:szCs w:val="24"/>
              </w:rPr>
              <w:t>ın Yüklenici Firmaya sipariş emri ve uygulama sözleşmesi düzenlenerek süresi içerisinde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Müdürlüğ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>üne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.14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 Uygulama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>sözleşm</w:t>
            </w:r>
            <w:r w:rsidR="0045730F">
              <w:rPr>
                <w:rFonts w:ascii="Times New Roman" w:hAnsi="Times New Roman"/>
                <w:sz w:val="24"/>
                <w:szCs w:val="24"/>
              </w:rPr>
              <w:t>eleri veri sistemine girilir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 xml:space="preserve">satın alma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ve inşaatları gerçekleştiri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5A4255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.15</w:t>
            </w:r>
            <w:r w:rsidR="00C42EA6">
              <w:rPr>
                <w:rFonts w:ascii="Times New Roman" w:hAnsi="Times New Roman"/>
                <w:sz w:val="24"/>
                <w:szCs w:val="24"/>
              </w:rPr>
              <w:t>.</w:t>
            </w:r>
            <w:r w:rsidR="005A4255">
              <w:rPr>
                <w:rFonts w:ascii="Times New Roman" w:hAnsi="Times New Roman"/>
                <w:sz w:val="24"/>
                <w:szCs w:val="24"/>
              </w:rPr>
              <w:t>Yatırımın tamamlanma süresinin son gününe kadar yapılan işler tespit edilir; yatırım işlemlerini tamamlayan yatırımcıya teminatı iade edilir, yatırım işlemlerini tamamlamayan yatırımcıya ise yapılan ve yapılmayan işler tespit edildikten sonra yatırımın tamamlanması için tebliğde belirtilen ek süre verilir.</w:t>
            </w:r>
          </w:p>
          <w:p w:rsidR="00C73566" w:rsidRPr="00C73566" w:rsidRDefault="00C42EA6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C44">
              <w:rPr>
                <w:rFonts w:ascii="Times New Roman" w:hAnsi="Times New Roman"/>
                <w:sz w:val="24"/>
                <w:szCs w:val="24"/>
              </w:rPr>
              <w:t>4.3.1.16.</w:t>
            </w:r>
            <w:r w:rsidR="005A4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tamamlamadı ise Hibe </w:t>
            </w:r>
            <w:r>
              <w:rPr>
                <w:rFonts w:ascii="Times New Roman" w:hAnsi="Times New Roman"/>
                <w:sz w:val="24"/>
                <w:szCs w:val="24"/>
              </w:rPr>
              <w:t>Sözleşmesi fesih edilir ve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/>
                <w:sz w:val="24"/>
                <w:szCs w:val="24"/>
              </w:rPr>
              <w:t>teminatı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 xml:space="preserve"> hazineye irat kaydedilerek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bildiri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0C44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A0C44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A0C44">
              <w:rPr>
                <w:rFonts w:ascii="Times New Roman" w:hAnsi="Times New Roman"/>
                <w:sz w:val="24"/>
                <w:szCs w:val="24"/>
              </w:rPr>
              <w:t>1</w:t>
            </w:r>
            <w:r w:rsidR="00ED251A" w:rsidRPr="009A0C44">
              <w:rPr>
                <w:rFonts w:ascii="Times New Roman" w:hAnsi="Times New Roman"/>
                <w:sz w:val="24"/>
                <w:szCs w:val="24"/>
              </w:rPr>
              <w:t>.1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7</w:t>
            </w:r>
            <w:r w:rsidR="00ED251A">
              <w:rPr>
                <w:rFonts w:ascii="Times New Roman" w:hAnsi="Times New Roman"/>
                <w:sz w:val="24"/>
                <w:szCs w:val="24"/>
              </w:rPr>
              <w:t>. 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</w:t>
            </w:r>
            <w:r w:rsidR="00ED251A">
              <w:rPr>
                <w:rFonts w:ascii="Times New Roman" w:hAnsi="Times New Roman"/>
                <w:sz w:val="24"/>
                <w:szCs w:val="24"/>
              </w:rPr>
              <w:t>mladı ise ödeme talebi yapılır ve ödeme talep evrakları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incele</w:t>
            </w:r>
            <w:r w:rsidR="00ED251A">
              <w:rPr>
                <w:rFonts w:ascii="Times New Roman" w:hAnsi="Times New Roman"/>
                <w:sz w:val="24"/>
                <w:szCs w:val="24"/>
              </w:rPr>
              <w:t>ni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8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 İnceleme sonucu olumsuz ise eksikliklerini tamamlaması için Ödeme Evrakları yatırımcıya iade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.19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 İnceleme sonucu olumlu ise Satın Alınan İnşaat- Makine Ekipmanın Proje Yürütme Birimi elemanlarınca yerinde tespiti </w:t>
            </w:r>
            <w:r w:rsidR="001103B2">
              <w:rPr>
                <w:rFonts w:ascii="Times New Roman" w:hAnsi="Times New Roman"/>
                <w:sz w:val="24"/>
                <w:szCs w:val="24"/>
              </w:rPr>
              <w:t>yapılır ve tespit tutanağı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hazırlan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.2</w:t>
            </w:r>
            <w:r w:rsidR="009A0C44">
              <w:rPr>
                <w:rFonts w:ascii="Times New Roman" w:hAnsi="Times New Roman"/>
                <w:sz w:val="24"/>
                <w:szCs w:val="24"/>
              </w:rPr>
              <w:t>0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 Tespit tutanağı olumsuz ise </w:t>
            </w:r>
            <w:r w:rsidR="00C35482" w:rsidRPr="00C73566">
              <w:rPr>
                <w:rFonts w:ascii="Times New Roman" w:hAnsi="Times New Roman"/>
                <w:sz w:val="24"/>
                <w:szCs w:val="24"/>
              </w:rPr>
              <w:t xml:space="preserve">hibe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sözleşmesi hükümleri gereği yapıl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5A4255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.21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 Tespit tutanağı olumlu ise Nihai Rapor ile birlikte </w:t>
            </w:r>
            <w:r w:rsidR="001103B2" w:rsidRPr="00C73566">
              <w:rPr>
                <w:rFonts w:ascii="Times New Roman" w:hAnsi="Times New Roman"/>
                <w:sz w:val="24"/>
                <w:szCs w:val="24"/>
              </w:rPr>
              <w:t xml:space="preserve">ödeme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103B2">
              <w:rPr>
                <w:rFonts w:ascii="Times New Roman" w:hAnsi="Times New Roman"/>
                <w:sz w:val="24"/>
                <w:szCs w:val="24"/>
              </w:rPr>
              <w:t xml:space="preserve">nternet veri sistemine girilir,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icmal alın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arak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onaylan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FB6166" w:rsidRPr="005A4255">
              <w:rPr>
                <w:rFonts w:ascii="Times New Roman" w:hAnsi="Times New Roman"/>
                <w:sz w:val="24"/>
                <w:szCs w:val="24"/>
              </w:rPr>
              <w:t xml:space="preserve">Bakanlık </w:t>
            </w:r>
            <w:r w:rsidR="003E7699" w:rsidRPr="005A4255">
              <w:rPr>
                <w:rFonts w:ascii="Times New Roman" w:hAnsi="Times New Roman"/>
                <w:sz w:val="24"/>
                <w:szCs w:val="24"/>
              </w:rPr>
              <w:t xml:space="preserve">ilgili merkez birimine </w:t>
            </w:r>
            <w:r w:rsidR="00C73566" w:rsidRPr="005A4255">
              <w:rPr>
                <w:rFonts w:ascii="Times New Roman" w:hAnsi="Times New Roman"/>
                <w:sz w:val="24"/>
                <w:szCs w:val="24"/>
              </w:rPr>
              <w:t>gönderil</w:t>
            </w:r>
            <w:r w:rsidR="00FB6166" w:rsidRPr="005A4255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55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5A4255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5A4255">
              <w:rPr>
                <w:rFonts w:ascii="Times New Roman" w:hAnsi="Times New Roman"/>
                <w:sz w:val="24"/>
                <w:szCs w:val="24"/>
              </w:rPr>
              <w:t>1.2</w:t>
            </w:r>
            <w:r w:rsidR="009A0C44">
              <w:rPr>
                <w:rFonts w:ascii="Times New Roman" w:hAnsi="Times New Roman"/>
                <w:sz w:val="24"/>
                <w:szCs w:val="24"/>
              </w:rPr>
              <w:t>2</w:t>
            </w:r>
            <w:r w:rsidR="00C73566" w:rsidRPr="005A4255">
              <w:rPr>
                <w:rFonts w:ascii="Times New Roman" w:hAnsi="Times New Roman"/>
                <w:sz w:val="24"/>
                <w:szCs w:val="24"/>
              </w:rPr>
              <w:t xml:space="preserve">. Ödeme talebinin </w:t>
            </w:r>
            <w:r w:rsidR="003E7699" w:rsidRPr="005A4255">
              <w:rPr>
                <w:rFonts w:ascii="Times New Roman" w:hAnsi="Times New Roman"/>
                <w:sz w:val="24"/>
                <w:szCs w:val="24"/>
              </w:rPr>
              <w:t>Bakanlık ilgili merkez birimi</w:t>
            </w:r>
            <w:r w:rsidR="00C73566" w:rsidRPr="005A4255">
              <w:rPr>
                <w:rFonts w:ascii="Times New Roman" w:hAnsi="Times New Roman"/>
                <w:sz w:val="24"/>
                <w:szCs w:val="24"/>
              </w:rPr>
              <w:t xml:space="preserve"> tarafından onaylanması sonucu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Proje Teminatı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Yatırımcıya iade edilerek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p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roje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sonuçlandırıl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612163">
              <w:rPr>
                <w:rFonts w:ascii="Times New Roman" w:hAnsi="Times New Roman"/>
                <w:sz w:val="24"/>
                <w:szCs w:val="24"/>
              </w:rPr>
              <w:t>1</w:t>
            </w:r>
            <w:r w:rsidR="009A0C44">
              <w:rPr>
                <w:rFonts w:ascii="Times New Roman" w:hAnsi="Times New Roman"/>
                <w:sz w:val="24"/>
                <w:szCs w:val="24"/>
              </w:rPr>
              <w:t>.23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 Proje izleme süresince</w:t>
            </w:r>
            <w:r w:rsidR="00C35482">
              <w:rPr>
                <w:rFonts w:ascii="Times New Roman" w:hAnsi="Times New Roman"/>
                <w:sz w:val="24"/>
                <w:szCs w:val="24"/>
              </w:rPr>
              <w:t>;</w:t>
            </w:r>
            <w:r w:rsidR="009261D8">
              <w:rPr>
                <w:rFonts w:ascii="Times New Roman" w:hAnsi="Times New Roman"/>
                <w:sz w:val="24"/>
                <w:szCs w:val="24"/>
              </w:rPr>
              <w:t xml:space="preserve"> projelerin mevzuatlarınca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takibi</w:t>
            </w:r>
            <w:r w:rsidR="009261D8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Bakanlığa raporlanması</w:t>
            </w:r>
            <w:r w:rsidR="00C35482">
              <w:rPr>
                <w:rFonts w:ascii="Times New Roman" w:hAnsi="Times New Roman"/>
                <w:sz w:val="24"/>
                <w:szCs w:val="24"/>
              </w:rPr>
              <w:t>,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yatırım izlemede ilgili mevzuatta belirtilen aksaklıkların görü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>lmesi durumunda yasal işlemler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başlatıl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7F0A7D" w:rsidRPr="00327B22" w:rsidRDefault="007F0A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7B22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  <w:p w:rsidR="0088071E" w:rsidRDefault="0088071E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FB6166" w:rsidP="00C735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36A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b/>
                <w:sz w:val="20"/>
                <w:szCs w:val="20"/>
              </w:rPr>
              <w:t>şma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nlık Destekleme Süreci</w:t>
            </w:r>
          </w:p>
          <w:p w:rsidR="0088071E" w:rsidRPr="0088071E" w:rsidRDefault="0088071E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1.Yetkili oda ve üret</w:t>
            </w:r>
            <w:r w:rsidR="00BF0474">
              <w:rPr>
                <w:rFonts w:ascii="Times New Roman" w:hAnsi="Times New Roman"/>
                <w:sz w:val="24"/>
                <w:szCs w:val="24"/>
              </w:rPr>
              <w:t>ici birliklerinden müracaatlar alınır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2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Müracaatlar ilgili mevzua</w:t>
            </w:r>
            <w:r w:rsidR="00FB6166">
              <w:rPr>
                <w:rFonts w:ascii="Times New Roman" w:hAnsi="Times New Roman"/>
                <w:sz w:val="24"/>
                <w:szCs w:val="24"/>
              </w:rPr>
              <w:t>ta uygunsa icmallerin hazırlanır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3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Yasal</w:t>
            </w:r>
            <w:r w:rsidR="00BF0474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ir. Değerlendirme sonucunda göre haklı itirazlar kabul edilerek gerekli düzeltmeler yapılır. Haksız itirazlar ise reddedilir.</w:t>
            </w:r>
          </w:p>
          <w:p w:rsidR="003E7699" w:rsidRPr="009261D8" w:rsidRDefault="003736A4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D8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9261D8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9261D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3E7699" w:rsidRPr="009261D8">
              <w:rPr>
                <w:rFonts w:ascii="Times New Roman" w:hAnsi="Times New Roman"/>
                <w:sz w:val="24"/>
                <w:szCs w:val="24"/>
              </w:rPr>
              <w:t xml:space="preserve">Gerekli Denetimler yapıldıktan sonra Denetim Raporları İl Teknik Komitesinde Değerlendirilir. Eğer Uygun Değilse Gerekli Ceza-i İşlemler Uygulanır. </w:t>
            </w:r>
          </w:p>
          <w:p w:rsidR="003E7699" w:rsidRPr="009261D8" w:rsidRDefault="003E7699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D8">
              <w:rPr>
                <w:rFonts w:ascii="Times New Roman" w:hAnsi="Times New Roman"/>
                <w:sz w:val="24"/>
                <w:szCs w:val="24"/>
              </w:rPr>
              <w:t xml:space="preserve">4.4.1.5. Uygun Olması Halinde Sistemden Ödeme icmalleri alınarak EBYS’den Bakanlık ilgili merkez birimine gönderilir. </w:t>
            </w:r>
          </w:p>
          <w:p w:rsidR="00CA097D" w:rsidRDefault="00CA097D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88071E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7D" w:rsidRPr="00EE54FC" w:rsidRDefault="00CA09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7F0A7D" w:rsidP="00FB61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7B22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FB6166" w:rsidRPr="00F2743B" w:rsidTr="0096608C">
        <w:tc>
          <w:tcPr>
            <w:tcW w:w="1843" w:type="dxa"/>
          </w:tcPr>
          <w:p w:rsidR="00FB6166" w:rsidRPr="00F2743B" w:rsidRDefault="00CB7929" w:rsidP="003C31DE">
            <w:pPr>
              <w:rPr>
                <w:rFonts w:ascii="Times New Roman" w:hAnsi="Times New Roman"/>
                <w:sz w:val="24"/>
                <w:szCs w:val="24"/>
              </w:rPr>
            </w:pPr>
            <w:r w:rsidRPr="00CB7929">
              <w:rPr>
                <w:rFonts w:ascii="Times New Roman" w:hAnsi="Times New Roman"/>
                <w:sz w:val="24"/>
                <w:szCs w:val="24"/>
              </w:rPr>
              <w:lastRenderedPageBreak/>
              <w:t>Referans Dokumanlar</w:t>
            </w:r>
          </w:p>
        </w:tc>
        <w:tc>
          <w:tcPr>
            <w:tcW w:w="8676" w:type="dxa"/>
            <w:gridSpan w:val="2"/>
          </w:tcPr>
          <w:p w:rsidR="00EF704C" w:rsidRDefault="00EF704C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Default="00EF704C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Tarımsal Des</w:t>
            </w:r>
            <w:r w:rsidR="0068416E" w:rsidRPr="0068416E">
              <w:rPr>
                <w:rFonts w:ascii="Times New Roman" w:hAnsi="Times New Roman"/>
                <w:b/>
                <w:sz w:val="24"/>
                <w:szCs w:val="24"/>
              </w:rPr>
              <w:t>teklemeler İle  İlgili İş Akış Şemaları</w:t>
            </w:r>
          </w:p>
          <w:p w:rsidR="00492C47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BİREYSEL SULAMA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İŞ AKIŞ ŞEMASI</w:t>
            </w: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 GTHB.15.İLM.İKS/KYS.AKŞ.O9.01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GENÇ ÇİFTÇİ PROJELERİ 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İŞ AKIŞ ŞEMASI  </w:t>
            </w: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GTHB.15.İLM.İKS/KYS.AKŞ.O9.02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KKYDP EKONOMİK YATIRIMLAR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İŞ AKIŞ ŞEMASI </w:t>
            </w: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GTHB.15.İLM.İKS/KYS.AKŞ.O9.03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lastRenderedPageBreak/>
              <w:t>KKYDP MAKİNA EKİPMAN YATIRIMLARI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İŞ AKIŞ ŞEMASI  </w:t>
            </w: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GTHB.15.İLM.İKS/KYS.AKŞ.O9.04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 xml:space="preserve">SU ÜRÜNLERİ DESTEKLEMERİ 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İŞ AKIŞ ŞEMASI 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GTHB.15.İLM.İKS/KYS.AKŞ.11.10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 xml:space="preserve">TARIMSAL YAYIM VE DANIŞMANLIK DESTEKLEMESİ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GTHB.15.İLM.İKS/KYS.AKŞ.08.10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 xml:space="preserve">ÖRTÜALTI KAYIT SİSTEMİ’NE BAĞLI DESTEKLEME  İCMALLERİNİN SİSTEMDEN </w:t>
            </w:r>
            <w:r w:rsidRPr="0068416E">
              <w:rPr>
                <w:rFonts w:asciiTheme="minorHAnsi" w:hAnsiTheme="minorHAnsi" w:cstheme="minorHAnsi"/>
                <w:sz w:val="18"/>
                <w:szCs w:val="18"/>
              </w:rPr>
              <w:br/>
              <w:t>ALINMASI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İŞ AKIŞ ŞEMASI 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GTHB.15.İLM.İKS/KYS.AKŞ.06.07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 xml:space="preserve">YEM BİTKİLERİ FARK ÖDEMESİ DESTEĞİ 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İŞ AKIŞ ŞEMASI 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GTHB.15.İLM.İKS/KYS.AKŞ.06.11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 xml:space="preserve">HUBUBAT, BAKLAGİL VE YAĞLI TOHUMLU BİTKİLER FARK ÖDEMESİ DESTEĞİ 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İŞ AKIŞ ŞEMASI 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GTHB.15.İLM.İKS/KYS.AKŞ.06.13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 xml:space="preserve">DESTEKLEMELERLE  İLGİLİ  İL TAHKİM KOMİSYONU OLUŞTURULMASI KARAR ALINMASI 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İŞ AKIŞ ŞEMASI 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GTHB.15.İLM.İKS/KYS.AKŞ.06.20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 xml:space="preserve">ÇKS’ YE BAĞLI DESTEKLEME İCMALLERİNİN SİSTEMDEN ALINMASI 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İŞ AKIŞ ŞEMASI 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GTHB.15.İLM.İKS/KYS.AKŞ.06.41</w:t>
            </w:r>
          </w:p>
          <w:p w:rsidR="00327B22" w:rsidRPr="0068416E" w:rsidRDefault="00327B22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>ÇKS’ BİRİM DESTEK VERİLERİNİN TOPLANMASI</w:t>
            </w:r>
            <w:r w:rsidR="0068416E"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İŞ AKIŞ ŞEMASI  </w:t>
            </w:r>
            <w:r w:rsidRPr="0068416E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GTHB.15.İLM.İKS/KYS.AKŞ.06.39</w:t>
            </w:r>
          </w:p>
          <w:p w:rsidR="0068416E" w:rsidRPr="0068416E" w:rsidRDefault="0068416E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>YEM BİTKİLERİ DESTEKLEMESİ</w:t>
            </w: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İŞ AKIŞ ŞEMASI  </w:t>
            </w:r>
            <w:r w:rsidRPr="0068416E">
              <w:rPr>
                <w:rFonts w:asciiTheme="minorHAnsi" w:hAnsiTheme="minorHAnsi" w:cstheme="minorHAnsi"/>
                <w:sz w:val="18"/>
                <w:szCs w:val="18"/>
              </w:rPr>
              <w:t>GTHB.15.İLM.İKS/KYS.AKŞ.02.01</w:t>
            </w:r>
          </w:p>
          <w:p w:rsidR="0068416E" w:rsidRPr="0068416E" w:rsidRDefault="0068416E" w:rsidP="0068416E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416E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HAYVANSAL ÜRETİME YÖNELİK DESTEKLEMELER İŞ AKIŞ ŞEMASI </w:t>
            </w:r>
            <w:r w:rsidRPr="0068416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GTHB.15.İLM.İKS/KYS.AKŞ.07.17</w:t>
            </w:r>
          </w:p>
          <w:p w:rsidR="0068416E" w:rsidRPr="00327B22" w:rsidRDefault="0068416E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EE54FC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55" w:rsidRDefault="00946E55" w:rsidP="00D87327">
      <w:pPr>
        <w:spacing w:after="0" w:line="240" w:lineRule="auto"/>
      </w:pPr>
      <w:r>
        <w:separator/>
      </w:r>
    </w:p>
  </w:endnote>
  <w:endnote w:type="continuationSeparator" w:id="0">
    <w:p w:rsidR="00946E55" w:rsidRDefault="00946E55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55" w:rsidRDefault="00946E55" w:rsidP="00D87327">
      <w:pPr>
        <w:spacing w:after="0" w:line="240" w:lineRule="auto"/>
      </w:pPr>
      <w:r>
        <w:separator/>
      </w:r>
    </w:p>
  </w:footnote>
  <w:footnote w:type="continuationSeparator" w:id="0">
    <w:p w:rsidR="00946E55" w:rsidRDefault="00946E55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EF5C5B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B5A7B" w:rsidRPr="006F0762" w:rsidRDefault="00FB5A7B" w:rsidP="00FB5A7B">
          <w:pPr>
            <w:pStyle w:val="a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BURDUR</w:t>
          </w:r>
          <w:r w:rsidRPr="006F0762">
            <w:rPr>
              <w:rFonts w:ascii="Times New Roman" w:eastAsia="Times New Roman" w:hAnsi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EF5C5B" w:rsidRPr="007E2B50" w:rsidRDefault="00FB5A7B" w:rsidP="00FB5A7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GTHB.İKS/KYS.TBL.002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9B40FD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9B40FD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EF5C5B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B40FD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B40FD">
            <w:rPr>
              <w:rFonts w:ascii="Times New Roman" w:hAnsi="Times New Roman"/>
              <w:b/>
              <w:bCs/>
              <w:noProof/>
              <w:sz w:val="18"/>
              <w:szCs w:val="18"/>
            </w:rPr>
            <w:t>4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EF5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06DA"/>
    <w:rsid w:val="000221E4"/>
    <w:rsid w:val="000557EA"/>
    <w:rsid w:val="000747C1"/>
    <w:rsid w:val="0008193E"/>
    <w:rsid w:val="00087151"/>
    <w:rsid w:val="00093FAC"/>
    <w:rsid w:val="000B3689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32716"/>
    <w:rsid w:val="00133144"/>
    <w:rsid w:val="00144E6C"/>
    <w:rsid w:val="0014641A"/>
    <w:rsid w:val="00153C0B"/>
    <w:rsid w:val="00161739"/>
    <w:rsid w:val="00163754"/>
    <w:rsid w:val="001777A3"/>
    <w:rsid w:val="001850A8"/>
    <w:rsid w:val="001A31DF"/>
    <w:rsid w:val="001B3562"/>
    <w:rsid w:val="001C302E"/>
    <w:rsid w:val="001D53B4"/>
    <w:rsid w:val="001E5595"/>
    <w:rsid w:val="001E5812"/>
    <w:rsid w:val="001E796A"/>
    <w:rsid w:val="001F2131"/>
    <w:rsid w:val="0020175D"/>
    <w:rsid w:val="00203280"/>
    <w:rsid w:val="002228D4"/>
    <w:rsid w:val="00231F3A"/>
    <w:rsid w:val="00244FF5"/>
    <w:rsid w:val="002A62BA"/>
    <w:rsid w:val="002C509E"/>
    <w:rsid w:val="002D087A"/>
    <w:rsid w:val="002E65D9"/>
    <w:rsid w:val="003037A5"/>
    <w:rsid w:val="00307D09"/>
    <w:rsid w:val="00310216"/>
    <w:rsid w:val="00327B22"/>
    <w:rsid w:val="00327C24"/>
    <w:rsid w:val="0033186B"/>
    <w:rsid w:val="003352BF"/>
    <w:rsid w:val="00336513"/>
    <w:rsid w:val="00350627"/>
    <w:rsid w:val="00367B4C"/>
    <w:rsid w:val="0037100B"/>
    <w:rsid w:val="003736A4"/>
    <w:rsid w:val="00375451"/>
    <w:rsid w:val="0039065E"/>
    <w:rsid w:val="003967E4"/>
    <w:rsid w:val="003A17D6"/>
    <w:rsid w:val="003A643A"/>
    <w:rsid w:val="003B575A"/>
    <w:rsid w:val="003B59EB"/>
    <w:rsid w:val="003B758D"/>
    <w:rsid w:val="003C31DE"/>
    <w:rsid w:val="003C4819"/>
    <w:rsid w:val="003D3204"/>
    <w:rsid w:val="003E1B5A"/>
    <w:rsid w:val="003E48D9"/>
    <w:rsid w:val="003E7699"/>
    <w:rsid w:val="003F03FB"/>
    <w:rsid w:val="00412D4E"/>
    <w:rsid w:val="00415A7C"/>
    <w:rsid w:val="0043093C"/>
    <w:rsid w:val="0044093E"/>
    <w:rsid w:val="0045730F"/>
    <w:rsid w:val="0046292E"/>
    <w:rsid w:val="004754C9"/>
    <w:rsid w:val="00484952"/>
    <w:rsid w:val="00492C47"/>
    <w:rsid w:val="0049538B"/>
    <w:rsid w:val="004B160B"/>
    <w:rsid w:val="004C0D40"/>
    <w:rsid w:val="004D317A"/>
    <w:rsid w:val="004E765B"/>
    <w:rsid w:val="004F012C"/>
    <w:rsid w:val="004F292A"/>
    <w:rsid w:val="004F64B1"/>
    <w:rsid w:val="004F6F0D"/>
    <w:rsid w:val="00510D46"/>
    <w:rsid w:val="00511454"/>
    <w:rsid w:val="005134CB"/>
    <w:rsid w:val="00520673"/>
    <w:rsid w:val="005212EF"/>
    <w:rsid w:val="005222F8"/>
    <w:rsid w:val="00531F41"/>
    <w:rsid w:val="0054459B"/>
    <w:rsid w:val="00574CD7"/>
    <w:rsid w:val="00580B81"/>
    <w:rsid w:val="005A4255"/>
    <w:rsid w:val="005C1088"/>
    <w:rsid w:val="005E6C8B"/>
    <w:rsid w:val="005F3B0B"/>
    <w:rsid w:val="005F7D2C"/>
    <w:rsid w:val="00610729"/>
    <w:rsid w:val="00612163"/>
    <w:rsid w:val="00620AE2"/>
    <w:rsid w:val="006223E1"/>
    <w:rsid w:val="006262D9"/>
    <w:rsid w:val="0063427E"/>
    <w:rsid w:val="00657C4A"/>
    <w:rsid w:val="00661C8B"/>
    <w:rsid w:val="0068416E"/>
    <w:rsid w:val="00694199"/>
    <w:rsid w:val="006A744C"/>
    <w:rsid w:val="006D3607"/>
    <w:rsid w:val="006E27A1"/>
    <w:rsid w:val="006E67FC"/>
    <w:rsid w:val="006E6ABF"/>
    <w:rsid w:val="006E7E0F"/>
    <w:rsid w:val="00700DAF"/>
    <w:rsid w:val="00713B16"/>
    <w:rsid w:val="0071552A"/>
    <w:rsid w:val="007252BD"/>
    <w:rsid w:val="007269CE"/>
    <w:rsid w:val="00736DD1"/>
    <w:rsid w:val="0077278E"/>
    <w:rsid w:val="007743C7"/>
    <w:rsid w:val="00775A7F"/>
    <w:rsid w:val="00783EFF"/>
    <w:rsid w:val="007922F9"/>
    <w:rsid w:val="007936A8"/>
    <w:rsid w:val="007B6F64"/>
    <w:rsid w:val="007C48DE"/>
    <w:rsid w:val="007C67D2"/>
    <w:rsid w:val="007D38EC"/>
    <w:rsid w:val="007D4396"/>
    <w:rsid w:val="007F0A7D"/>
    <w:rsid w:val="00820D82"/>
    <w:rsid w:val="0083361D"/>
    <w:rsid w:val="0088071E"/>
    <w:rsid w:val="00887529"/>
    <w:rsid w:val="00895722"/>
    <w:rsid w:val="008D3B48"/>
    <w:rsid w:val="008D7524"/>
    <w:rsid w:val="008E173F"/>
    <w:rsid w:val="008E5E97"/>
    <w:rsid w:val="008F4A6C"/>
    <w:rsid w:val="00906E82"/>
    <w:rsid w:val="009110BA"/>
    <w:rsid w:val="009261D8"/>
    <w:rsid w:val="0094415D"/>
    <w:rsid w:val="00946E55"/>
    <w:rsid w:val="0096608C"/>
    <w:rsid w:val="009733AA"/>
    <w:rsid w:val="009826F8"/>
    <w:rsid w:val="00984DBD"/>
    <w:rsid w:val="009A0C44"/>
    <w:rsid w:val="009B40FD"/>
    <w:rsid w:val="009B7AFC"/>
    <w:rsid w:val="009C660B"/>
    <w:rsid w:val="00A13F85"/>
    <w:rsid w:val="00A24959"/>
    <w:rsid w:val="00A33F64"/>
    <w:rsid w:val="00A34BE1"/>
    <w:rsid w:val="00A3553D"/>
    <w:rsid w:val="00A83839"/>
    <w:rsid w:val="00A87E59"/>
    <w:rsid w:val="00AA1160"/>
    <w:rsid w:val="00AB0A64"/>
    <w:rsid w:val="00AB1CC6"/>
    <w:rsid w:val="00AB3263"/>
    <w:rsid w:val="00AE20B6"/>
    <w:rsid w:val="00AF5CCA"/>
    <w:rsid w:val="00B247EB"/>
    <w:rsid w:val="00B44AC0"/>
    <w:rsid w:val="00B73D96"/>
    <w:rsid w:val="00BB2E20"/>
    <w:rsid w:val="00BB56B8"/>
    <w:rsid w:val="00BF0474"/>
    <w:rsid w:val="00BF215E"/>
    <w:rsid w:val="00C12BBC"/>
    <w:rsid w:val="00C35482"/>
    <w:rsid w:val="00C42EA6"/>
    <w:rsid w:val="00C53E7C"/>
    <w:rsid w:val="00C63B68"/>
    <w:rsid w:val="00C73566"/>
    <w:rsid w:val="00C76981"/>
    <w:rsid w:val="00C84F7A"/>
    <w:rsid w:val="00CA097D"/>
    <w:rsid w:val="00CA3B2C"/>
    <w:rsid w:val="00CB7929"/>
    <w:rsid w:val="00CC15F4"/>
    <w:rsid w:val="00CC1A32"/>
    <w:rsid w:val="00CC1D0A"/>
    <w:rsid w:val="00CD0B03"/>
    <w:rsid w:val="00CF4951"/>
    <w:rsid w:val="00D12E4F"/>
    <w:rsid w:val="00D166E3"/>
    <w:rsid w:val="00D2020B"/>
    <w:rsid w:val="00D21749"/>
    <w:rsid w:val="00D3314B"/>
    <w:rsid w:val="00D449DF"/>
    <w:rsid w:val="00D46CBF"/>
    <w:rsid w:val="00D53F6A"/>
    <w:rsid w:val="00D87327"/>
    <w:rsid w:val="00D97F56"/>
    <w:rsid w:val="00DA178E"/>
    <w:rsid w:val="00DA1AD3"/>
    <w:rsid w:val="00DC53B1"/>
    <w:rsid w:val="00DE3233"/>
    <w:rsid w:val="00DE334E"/>
    <w:rsid w:val="00E01BE5"/>
    <w:rsid w:val="00E170A2"/>
    <w:rsid w:val="00E218EA"/>
    <w:rsid w:val="00E26241"/>
    <w:rsid w:val="00E43B9C"/>
    <w:rsid w:val="00E564D0"/>
    <w:rsid w:val="00E63502"/>
    <w:rsid w:val="00E80CB4"/>
    <w:rsid w:val="00E97A58"/>
    <w:rsid w:val="00ED251A"/>
    <w:rsid w:val="00EE54FC"/>
    <w:rsid w:val="00EF52EB"/>
    <w:rsid w:val="00EF5C5B"/>
    <w:rsid w:val="00EF704C"/>
    <w:rsid w:val="00F2743B"/>
    <w:rsid w:val="00F52F1C"/>
    <w:rsid w:val="00F6481E"/>
    <w:rsid w:val="00F665A2"/>
    <w:rsid w:val="00F732E0"/>
    <w:rsid w:val="00F973E8"/>
    <w:rsid w:val="00FB15B0"/>
    <w:rsid w:val="00FB5A7B"/>
    <w:rsid w:val="00FB6166"/>
    <w:rsid w:val="00FB731D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0F81"/>
  <w15:docId w15:val="{8D346728-4538-42F4-BD7F-D7398F01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">
    <w:basedOn w:val="Normal"/>
    <w:next w:val="stBilgi"/>
    <w:link w:val="stbilgiChar0"/>
    <w:uiPriority w:val="99"/>
    <w:rsid w:val="00FB5A7B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stbilgiChar0">
    <w:name w:val="Üstbilgi Char"/>
    <w:link w:val="a"/>
    <w:uiPriority w:val="99"/>
    <w:rsid w:val="00FB5A7B"/>
    <w:rPr>
      <w:rFonts w:ascii="Calibri" w:eastAsia="Calibri" w:hAnsi="Calibri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BAD09-69B5-415B-826B-A89DA1287FD3}"/>
</file>

<file path=customXml/itemProps2.xml><?xml version="1.0" encoding="utf-8"?>
<ds:datastoreItem xmlns:ds="http://schemas.openxmlformats.org/officeDocument/2006/customXml" ds:itemID="{08CF862A-9CA2-45E6-93B1-3E01C6A9FAAC}"/>
</file>

<file path=customXml/itemProps3.xml><?xml version="1.0" encoding="utf-8"?>
<ds:datastoreItem xmlns:ds="http://schemas.openxmlformats.org/officeDocument/2006/customXml" ds:itemID="{11F50F99-A5D6-4CB7-A6AC-5450B1381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Coşkun CÜCE</cp:lastModifiedBy>
  <cp:revision>30</cp:revision>
  <dcterms:created xsi:type="dcterms:W3CDTF">2017-11-23T06:23:00Z</dcterms:created>
  <dcterms:modified xsi:type="dcterms:W3CDTF">2018-04-16T06:00:00Z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